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p>
      <w:pPr>
        <w:pStyle w:val="BodyText"/>
      </w:pPr>
      <w:r>
        <w:t xml:space="preserve">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564"/>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2.2</w:t>
              </w:r>
            </w:hyperlink>
            <w:r>
              <w:t xml:space="preserve">.</w:t>
            </w:r>
          </w:p>
          <w:p>
            <w:pPr>
              <w:jc w:val="center"/>
            </w:pPr>
            <w:r>
              <w:drawing>
                <wp:inline>
                  <wp:extent cx="5646420" cy="6886832"/>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6886832"/>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646420" cy="5231701"/>
                  <wp:effectExtent b="0" l="0" r="0" t="0"/>
                  <wp:docPr descr="" title="" id="159" name="Picture"/>
                  <a:graphic>
                    <a:graphicData uri="http://schemas.openxmlformats.org/drawingml/2006/picture">
                      <pic:pic>
                        <pic:nvPicPr>
                          <pic:cNvPr descr="Chapter2/Figs/Figure2_Bede.jpg" id="160" name="Picture"/>
                          <pic:cNvPicPr>
                            <a:picLocks noChangeArrowheads="1" noChangeAspect="1"/>
                          </pic:cNvPicPr>
                        </pic:nvPicPr>
                        <pic:blipFill>
                          <a:blip r:embed="rId158"/>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72811"/>
                  <wp:effectExtent b="0" l="0" r="0" t="0"/>
                  <wp:docPr descr="" title="" id="164" name="Picture"/>
                  <a:graphic>
                    <a:graphicData uri="http://schemas.openxmlformats.org/drawingml/2006/picture">
                      <pic:pic>
                        <pic:nvPicPr>
                          <pic:cNvPr descr="Chapter2/Figs/Figure3_Bede.jpg" id="165" name="Picture"/>
                          <pic:cNvPicPr>
                            <a:picLocks noChangeArrowheads="1" noChangeAspect="1"/>
                          </pic:cNvPicPr>
                        </pic:nvPicPr>
                        <pic:blipFill>
                          <a:blip r:embed="rId163"/>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5646420" cy="5598319"/>
                  <wp:effectExtent b="0" l="0" r="0" t="0"/>
                  <wp:docPr descr="" title="" id="174" name="Picture"/>
                  <a:graphic>
                    <a:graphicData uri="http://schemas.openxmlformats.org/drawingml/2006/picture">
                      <pic:pic>
                        <pic:nvPicPr>
                          <pic:cNvPr descr="Chapter2/Figs/Figure4_Bede.jpg" id="175" name="Picture"/>
                          <pic:cNvPicPr>
                            <a:picLocks noChangeArrowheads="1" noChangeAspect="1"/>
                          </pic:cNvPicPr>
                        </pic:nvPicPr>
                        <pic:blipFill>
                          <a:blip r:embed="rId173"/>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646420" cy="5614362"/>
                  <wp:effectExtent b="0" l="0" r="0" t="0"/>
                  <wp:docPr descr="" title="" id="179" name="Picture"/>
                  <a:graphic>
                    <a:graphicData uri="http://schemas.openxmlformats.org/drawingml/2006/picture">
                      <pic:pic>
                        <pic:nvPicPr>
                          <pic:cNvPr descr="Chapter2/Figs/Figure5_Bede.jpg" id="180" name="Picture"/>
                          <pic:cNvPicPr>
                            <a:picLocks noChangeArrowheads="1" noChangeAspect="1"/>
                          </pic:cNvPicPr>
                        </pic:nvPicPr>
                        <pic:blipFill>
                          <a:blip r:embed="rId178"/>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w:t>
      </w:r>
      <w:hyperlink w:anchor="fig-VIPFunction">
        <w:r>
          <w:rPr>
            <w:rStyle w:val="Hyperlink"/>
          </w:rPr>
          <w:t xml:space="preserve">Figure 2.8</w:t>
        </w:r>
      </w:hyperlink>
      <w:r>
        <w:t xml:space="preserve">).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5646420" cy="5616787"/>
                  <wp:effectExtent b="0" l="0" r="0" t="0"/>
                  <wp:docPr descr="" title="" id="184" name="Picture"/>
                  <a:graphic>
                    <a:graphicData uri="http://schemas.openxmlformats.org/drawingml/2006/picture">
                      <pic:pic>
                        <pic:nvPicPr>
                          <pic:cNvPr descr="Chapter2/Figs/Figure6_Bede.jpg" id="185" name="Picture"/>
                          <pic:cNvPicPr>
                            <a:picLocks noChangeArrowheads="1" noChangeAspect="1"/>
                          </pic:cNvPicPr>
                        </pic:nvPicPr>
                        <pic:blipFill>
                          <a:blip r:embed="rId183"/>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5646420" cy="5571597"/>
                  <wp:effectExtent b="0" l="0" r="0" t="0"/>
                  <wp:docPr descr="" title="" id="192" name="Picture"/>
                  <a:graphic>
                    <a:graphicData uri="http://schemas.openxmlformats.org/drawingml/2006/picture">
                      <pic:pic>
                        <pic:nvPicPr>
                          <pic:cNvPr descr="Chapter2/Figs/Figure7_Bede.jpg" id="193" name="Picture"/>
                          <pic:cNvPicPr>
                            <a:picLocks noChangeArrowheads="1" noChangeAspect="1"/>
                          </pic:cNvPicPr>
                        </pic:nvPicPr>
                        <pic:blipFill>
                          <a:blip r:embed="rId191"/>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646420" cy="5595743"/>
                  <wp:effectExtent b="0" l="0" r="0" t="0"/>
                  <wp:docPr descr="" title="" id="196" name="Picture"/>
                  <a:graphic>
                    <a:graphicData uri="http://schemas.openxmlformats.org/drawingml/2006/picture">
                      <pic:pic>
                        <pic:nvPicPr>
                          <pic:cNvPr descr="Chapter2/Figs/Figure8_Bede.jpg" id="197" name="Picture"/>
                          <pic:cNvPicPr>
                            <a:picLocks noChangeArrowheads="1" noChangeAspect="1"/>
                          </pic:cNvPicPr>
                        </pic:nvPicPr>
                        <pic:blipFill>
                          <a:blip r:embed="rId195"/>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5646420" cy="5627499"/>
                  <wp:effectExtent b="0" l="0" r="0" t="0"/>
                  <wp:docPr descr="" title="" id="201" name="Picture"/>
                  <a:graphic>
                    <a:graphicData uri="http://schemas.openxmlformats.org/drawingml/2006/picture">
                      <pic:pic>
                        <pic:nvPicPr>
                          <pic:cNvPr descr="Chapter2/Figs/Figure9_Bede.jpg" id="202" name="Picture"/>
                          <pic:cNvPicPr>
                            <a:picLocks noChangeArrowheads="1" noChangeAspect="1"/>
                          </pic:cNvPicPr>
                        </pic:nvPicPr>
                        <pic:blipFill>
                          <a:blip r:embed="rId200"/>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25024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5098189"/>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10606787"/>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1060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8794957"/>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als-methods-1"/>
    <w:p>
      <w:pPr>
        <w:pStyle w:val="Heading2"/>
      </w:pPr>
      <w:r>
        <w:t xml:space="preserve">4.2 Materials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w:t>
      </w:r>
      <w:r>
        <w:t xml:space="preserve">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349240" cy="9430153"/>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349240" cy="9430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052060" cy="8217798"/>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052060" cy="8217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of the Saja estuary, Nothern Spain. The total extent of this flight was 20.4 ha with a resolution of 80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2"/>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8478108"/>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84781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(C ; 6th of September 2021) and After (D ; 8th of October 2021) the HW and SHSI applied to the same Sentinel-2 images Before (B), During (D)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4754880" cy="475488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13,093.41</w:t>
                  </w:r>
                </w:p>
              </w:tc>
            </w:tr>
          </w:tbl>
          <w:bookmarkEnd w:id="460"/>
        </w:tc>
      </w:tr>
    </w:tbl>
    <w:p>
      <w:r>
        <w:br w:type="page"/>
      </w:r>
    </w:p>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1" w:name="references"/>
    <w:p>
      <w:pPr>
        <w:pStyle w:val="Heading1"/>
      </w:pPr>
      <w:r>
        <w:t xml:space="preserve">References</w:t>
      </w:r>
    </w:p>
    <w:bookmarkStart w:id="990"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rget2017seasonal"/>
    <w:p>
      <w:pPr>
        <w:pStyle w:val="Bibliography"/>
      </w:pPr>
      <w:r>
        <w:t xml:space="preserve">Surget, G., Le Lann, K., Delebecq, G., Kervarec, N., Donval, A., Poullaouec, M.-A., Bihannic, I., Poupart, N., Stiger-Pouvreau, V., 2017. Seasonal phenology and metabolomics of the introduced red macroalga</w:t>
      </w:r>
      <w:r>
        <w:t xml:space="preserve"> </w:t>
      </w:r>
      <w:r>
        <w:t xml:space="preserve">G</w:t>
      </w:r>
      <w:r>
        <w:t xml:space="preserve">racilaria vermiculophylla, monitored in the</w:t>
      </w:r>
      <w:r>
        <w:t xml:space="preserve"> </w:t>
      </w:r>
      <w:r>
        <w:t xml:space="preserve">B</w:t>
      </w:r>
      <w:r>
        <w:t xml:space="preserve">ay of</w:t>
      </w:r>
      <w:r>
        <w:t xml:space="preserve"> </w:t>
      </w:r>
      <w:r>
        <w:t xml:space="preserve">B</w:t>
      </w:r>
      <w:r>
        <w:t xml:space="preserve">rest (</w:t>
      </w:r>
      <w:r>
        <w:t xml:space="preserve">F</w:t>
      </w:r>
      <w:r>
        <w:t xml:space="preserve">rance). Journal of Applied Phycology 29, 2651–2666.</w:t>
      </w:r>
    </w:p>
    <w:bookmarkEnd w:id="924"/>
    <w:bookmarkStart w:id="92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5"/>
    <w:bookmarkStart w:id="92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6"/>
    <w:bookmarkStart w:id="92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7"/>
    <w:bookmarkStart w:id="92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8">
        <w:r>
          <w:rPr>
            <w:rStyle w:val="Hyperlink"/>
          </w:rPr>
          <w:t xml:space="preserve">https://doi.org/10.1007/s11356-011-0479-3</w:t>
        </w:r>
      </w:hyperlink>
    </w:p>
    <w:bookmarkEnd w:id="929"/>
    <w:bookmarkStart w:id="93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0"/>
    <w:bookmarkStart w:id="931"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1"/>
    <w:bookmarkStart w:id="932"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2"/>
    <w:bookmarkStart w:id="933"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3"/>
    <w:bookmarkStart w:id="934"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4"/>
    <w:bookmarkStart w:id="935"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5"/>
    <w:bookmarkStart w:id="936"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6"/>
    <w:bookmarkStart w:id="937"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7"/>
    <w:bookmarkStart w:id="939" w:name="ref-Traganos2018"/>
    <w:p>
      <w:pPr>
        <w:pStyle w:val="Bibliography"/>
      </w:pPr>
      <w:r>
        <w:t xml:space="preserve">Traganos, D., Reinartz, P., 2018. Mapping mediterranean seagrasses with sentinel-2 imagery. Marine Pollution Bulletin 134, 197–209.</w:t>
      </w:r>
      <w:r>
        <w:t xml:space="preserve"> </w:t>
      </w:r>
      <w:hyperlink r:id="rId938">
        <w:r>
          <w:rPr>
            <w:rStyle w:val="Hyperlink"/>
          </w:rPr>
          <w:t xml:space="preserve">https://doi.org/10.1016/j.marpolbul.2017.06.075</w:t>
        </w:r>
      </w:hyperlink>
    </w:p>
    <w:bookmarkEnd w:id="939"/>
    <w:bookmarkStart w:id="940"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0"/>
    <w:bookmarkStart w:id="941"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1"/>
    <w:bookmarkStart w:id="943" w:name="ref-maritime_union_trade_2025"/>
    <w:p>
      <w:pPr>
        <w:pStyle w:val="Bibliography"/>
      </w:pPr>
      <w:r>
        <w:t xml:space="preserve">Union, M., 2025. How much trade is maritime? [WWW Document]. URL</w:t>
      </w:r>
      <w:r>
        <w:t xml:space="preserve"> </w:t>
      </w:r>
      <w:hyperlink r:id="rId942">
        <w:r>
          <w:rPr>
            <w:rStyle w:val="Hyperlink"/>
          </w:rPr>
          <w:t xml:space="preserve">https://maritime-union.org/how-much-trade-is-maritime</w:t>
        </w:r>
      </w:hyperlink>
    </w:p>
    <w:bookmarkEnd w:id="943"/>
    <w:bookmarkStart w:id="944" w:name="ref-unsworth2014biodiversity"/>
    <w:p>
      <w:pPr>
        <w:pStyle w:val="Bibliography"/>
      </w:pPr>
      <w:r>
        <w:t xml:space="preserve">Unsworth, R., Cullen-Unsworth, L.C., 2014. Biodiversity, ecosystem services, and the conservation of seagrass meadows. Coast. Conserv 19, 95.</w:t>
      </w:r>
    </w:p>
    <w:bookmarkEnd w:id="944"/>
    <w:bookmarkStart w:id="945" w:name="ref-unsworth2021seagrass"/>
    <w:p>
      <w:pPr>
        <w:pStyle w:val="Bibliography"/>
      </w:pPr>
      <w:r>
        <w:t xml:space="preserve">Unsworth, R.K., Butterworth, E.G., 2021. Seagrass meadows provide a significant resource in support of avifauna. Diversity 13, 363.</w:t>
      </w:r>
    </w:p>
    <w:bookmarkEnd w:id="945"/>
    <w:bookmarkStart w:id="946" w:name="ref-Unsworth2022"/>
    <w:p>
      <w:pPr>
        <w:pStyle w:val="Bibliography"/>
      </w:pPr>
      <w:r>
        <w:t xml:space="preserve">Unsworth, R.K., Cullen-Unsworth, L.C., Jones, B.L., Lilley, R.J., 2022. The planetary role of seagrass conservation. Science 377, 609–613.</w:t>
      </w:r>
    </w:p>
    <w:bookmarkEnd w:id="946"/>
    <w:bookmarkStart w:id="947"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7"/>
    <w:bookmarkStart w:id="948" w:name="ref-unsworth2019seagrass"/>
    <w:p>
      <w:pPr>
        <w:pStyle w:val="Bibliography"/>
      </w:pPr>
      <w:r>
        <w:t xml:space="preserve">Unsworth, R.K., Nordlund, L.M., Cullen-Unsworth, L.C., 2019b. Seagrass meadows support global fisheries production. Conservation Letters 12, e12566.</w:t>
      </w:r>
    </w:p>
    <w:bookmarkEnd w:id="948"/>
    <w:bookmarkStart w:id="949"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9"/>
    <w:bookmarkStart w:id="95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0">
        <w:r>
          <w:rPr>
            <w:rStyle w:val="Hyperlink"/>
          </w:rPr>
          <w:t xml:space="preserve">https://doi.org/10.1641/0006-3568(2004)054[0523:UISTSE]2.0.CO;2</w:t>
        </w:r>
      </w:hyperlink>
    </w:p>
    <w:bookmarkEnd w:id="951"/>
    <w:bookmarkStart w:id="952" w:name="ref-valderrama2013social"/>
    <w:p>
      <w:pPr>
        <w:pStyle w:val="Bibliography"/>
      </w:pPr>
      <w:r>
        <w:t xml:space="preserve">Valderrama, D., Cai, J., Hishamunda, N., Ridler, N., 2013. Social and economic dimensions of carrageenan seaweed farming.</w:t>
      </w:r>
    </w:p>
    <w:bookmarkEnd w:id="952"/>
    <w:bookmarkStart w:id="953"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3"/>
    <w:bookmarkStart w:id="954"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4"/>
    <w:bookmarkStart w:id="955"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5"/>
    <w:bookmarkStart w:id="957"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6">
        <w:r>
          <w:rPr>
            <w:rStyle w:val="Hyperlink"/>
          </w:rPr>
          <w:t xml:space="preserve">https://doi.org/10.1127/0340-269X/2003/0033-0187</w:t>
        </w:r>
      </w:hyperlink>
    </w:p>
    <w:bookmarkEnd w:id="957"/>
    <w:bookmarkStart w:id="958"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8"/>
    <w:bookmarkStart w:id="959"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9"/>
    <w:bookmarkStart w:id="960"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0"/>
    <w:bookmarkStart w:id="961"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1"/>
    <w:bookmarkStart w:id="96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2"/>
    <w:bookmarkStart w:id="96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3"/>
    <w:bookmarkStart w:id="964" w:name="ref-walker1992seagrass"/>
    <w:p>
      <w:pPr>
        <w:pStyle w:val="Bibliography"/>
      </w:pPr>
      <w:r>
        <w:t xml:space="preserve">Walker, D.I., McComb, A.J., 1992. Seagrass degradation in australian coastal waters. Marine Pollution Bulletin 25, 191–195.</w:t>
      </w:r>
    </w:p>
    <w:bookmarkEnd w:id="964"/>
    <w:bookmarkStart w:id="965" w:name="ref-wang2020estimation"/>
    <w:p>
      <w:pPr>
        <w:pStyle w:val="Bibliography"/>
      </w:pPr>
      <w:r>
        <w:t xml:space="preserve">Wang, Y., Fang, H., 2020. Estimation of LAI with the LiDAR technology: A review. Remote Sensing 12, 3457.</w:t>
      </w:r>
    </w:p>
    <w:bookmarkEnd w:id="965"/>
    <w:bookmarkStart w:id="966" w:name="ref-wang2022"/>
    <w:p>
      <w:pPr>
        <w:pStyle w:val="Bibliography"/>
      </w:pPr>
      <w:r>
        <w:t xml:space="preserve">Wang, Z., Fang, Z., Liang, J., Song, X., 2022. Assessment of global habitat suitability and risk of ocean green tides. Harmful Algae 119, 102324.</w:t>
      </w:r>
    </w:p>
    <w:bookmarkEnd w:id="966"/>
    <w:bookmarkStart w:id="967"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7"/>
    <w:bookmarkStart w:id="969" w:name="ref-WEI2015399"/>
    <w:p>
      <w:pPr>
        <w:pStyle w:val="Bibliography"/>
      </w:pPr>
      <w:r>
        <w:t xml:space="preserve">Wei, P., Lu, Z., Song, J., 2015. Variable importance analysis: A comprehensive review. Reliability Engineering and System Safety 142, 399–432. https://doi.org/</w:t>
      </w:r>
      <w:hyperlink r:id="rId968">
        <w:r>
          <w:rPr>
            <w:rStyle w:val="Hyperlink"/>
          </w:rPr>
          <w:t xml:space="preserve">https://doi.org/10.1016/j.ress.2015.05.018</w:t>
        </w:r>
      </w:hyperlink>
    </w:p>
    <w:bookmarkEnd w:id="969"/>
    <w:bookmarkStart w:id="970"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0"/>
    <w:bookmarkStart w:id="97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1"/>
    <w:bookmarkStart w:id="972"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2"/>
    <w:bookmarkStart w:id="973" w:name="ref-williams2007global"/>
    <w:p>
      <w:pPr>
        <w:pStyle w:val="Bibliography"/>
      </w:pPr>
      <w:r>
        <w:t xml:space="preserve">Williams, S.L., Smith, J.E., 2007. A global review of the distribution, taxonomy, and impacts of introduced seaweeds. Annu. Rev. Ecol. Evol. Syst. 38, 327–359.</w:t>
      </w:r>
    </w:p>
    <w:bookmarkEnd w:id="973"/>
    <w:bookmarkStart w:id="974"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4"/>
    <w:bookmarkStart w:id="975"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5"/>
    <w:bookmarkStart w:id="977"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6">
        <w:r>
          <w:rPr>
            <w:rStyle w:val="Hyperlink"/>
          </w:rPr>
          <w:t xml:space="preserve">https://doi.org/10.18637/jss.v077.i01</w:t>
        </w:r>
      </w:hyperlink>
    </w:p>
    <w:bookmarkEnd w:id="977"/>
    <w:bookmarkStart w:id="97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8"/>
    <w:bookmarkStart w:id="980"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9">
        <w:r>
          <w:rPr>
            <w:rStyle w:val="Hyperlink"/>
          </w:rPr>
          <w:t xml:space="preserve">https://doi.org/10.1155/2017/1353691</w:t>
        </w:r>
      </w:hyperlink>
    </w:p>
    <w:bookmarkEnd w:id="980"/>
    <w:bookmarkStart w:id="981"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1"/>
    <w:bookmarkStart w:id="982" w:name="ref-yuan2021review"/>
    <w:p>
      <w:pPr>
        <w:pStyle w:val="Bibliography"/>
      </w:pPr>
      <w:r>
        <w:t xml:space="preserve">Yuan, X., Shi, J., Gu, L., 2021. A review of deep learning methods for semantic segmentation of remote sensing imagery. Expert Systems with Applications 169, 114417.</w:t>
      </w:r>
    </w:p>
    <w:bookmarkEnd w:id="982"/>
    <w:bookmarkStart w:id="983" w:name="ref-zahoor2023water"/>
    <w:p>
      <w:pPr>
        <w:pStyle w:val="Bibliography"/>
      </w:pPr>
      <w:r>
        <w:t xml:space="preserve">Zahoor, I., Mushtaq, A., 2023. Water pollution from agricultural activities: A critical global review. Int. J. Chem. Biochem. Sci 23, 164–176.</w:t>
      </w:r>
    </w:p>
    <w:bookmarkEnd w:id="983"/>
    <w:bookmarkStart w:id="9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4">
        <w:r>
          <w:rPr>
            <w:rStyle w:val="Hyperlink"/>
          </w:rPr>
          <w:t xml:space="preserve">https://doi.org/10.3390/d14121077</w:t>
        </w:r>
      </w:hyperlink>
    </w:p>
    <w:bookmarkEnd w:id="985"/>
    <w:bookmarkStart w:id="986" w:name="ref-zhu2020analysis"/>
    <w:p>
      <w:pPr>
        <w:pStyle w:val="Bibliography"/>
      </w:pPr>
      <w:r>
        <w:t xml:space="preserve">Zhu, T., 2020. Analysis on the applicability of the random forest, in: Journal of Physics: Conference Series. IOP Publishing, p. 012123.</w:t>
      </w:r>
    </w:p>
    <w:bookmarkEnd w:id="986"/>
    <w:bookmarkStart w:id="98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7"/>
    <w:bookmarkStart w:id="98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8"/>
    <w:bookmarkStart w:id="989"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9"/>
    <w:bookmarkEnd w:id="990"/>
    <w:bookmarkEnd w:id="99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2025-04-03T12:12:33Z</dcterms:created>
  <dcterms:modified xsi:type="dcterms:W3CDTF">2025-04-03T12:12:33Z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